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8DD" w:rsidRDefault="00F548DD" w:rsidP="00F548DD">
      <w:pPr>
        <w:shd w:val="clear" w:color="auto" w:fill="FFFFFF"/>
        <w:ind w:left="5664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Додаток</w:t>
      </w:r>
    </w:p>
    <w:p w:rsidR="00F548DD" w:rsidRDefault="00F548DD" w:rsidP="00F548DD">
      <w:pPr>
        <w:shd w:val="clear" w:color="auto" w:fill="FFFFFF"/>
        <w:ind w:left="5664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до рішення </w:t>
      </w:r>
      <w:r w:rsidR="00C133C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12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 ї сесії</w:t>
      </w:r>
    </w:p>
    <w:p w:rsidR="00F548DD" w:rsidRDefault="00F548DD" w:rsidP="00F548DD">
      <w:pPr>
        <w:shd w:val="clear" w:color="auto" w:fill="FFFFFF"/>
        <w:ind w:left="5664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обласної ради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скликання</w:t>
      </w:r>
    </w:p>
    <w:p w:rsidR="00F548DD" w:rsidRDefault="00F548DD" w:rsidP="00F548DD">
      <w:pPr>
        <w:shd w:val="clear" w:color="auto" w:fill="FFFFFF"/>
        <w:ind w:left="5664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від </w:t>
      </w:r>
      <w:r w:rsidR="00C133C8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24</w:t>
      </w:r>
      <w:r w:rsidR="00C133C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.03.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2017 року</w:t>
      </w:r>
      <w:r w:rsidR="00C133C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№ </w:t>
      </w:r>
      <w:r w:rsidR="00C133C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16-12/17</w:t>
      </w:r>
    </w:p>
    <w:p w:rsidR="00C133C8" w:rsidRPr="00F548DD" w:rsidRDefault="00C133C8" w:rsidP="00F548DD">
      <w:pPr>
        <w:shd w:val="clear" w:color="auto" w:fill="FFFFFF"/>
        <w:ind w:left="5664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F548DD" w:rsidRPr="00F548DD" w:rsidRDefault="00F548DD" w:rsidP="00AE0F16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AE0F16" w:rsidRPr="003474D5" w:rsidRDefault="00AE0F16" w:rsidP="00AE0F1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ЗВІТ</w:t>
      </w:r>
    </w:p>
    <w:p w:rsidR="00AE0F16" w:rsidRPr="003474D5" w:rsidRDefault="00AE0F16" w:rsidP="00AE0F1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474D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голови Чернівецької обласної ради</w:t>
      </w:r>
    </w:p>
    <w:p w:rsidR="00AE0F16" w:rsidRDefault="00D23892" w:rsidP="00AE0F1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Мунтяна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AE0F16" w:rsidRPr="003474D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Іван</w:t>
      </w:r>
      <w:r w:rsidR="00AE0F16" w:rsidRPr="003474D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 </w:t>
      </w:r>
      <w:r w:rsidR="00AE0F16" w:rsidRPr="003474D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Миколайовича</w:t>
      </w:r>
    </w:p>
    <w:p w:rsidR="00D23892" w:rsidRPr="003474D5" w:rsidRDefault="00E050EA" w:rsidP="00AE0F16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 01.12.2015 по 01.12.2016</w:t>
      </w:r>
    </w:p>
    <w:p w:rsidR="00AE0F16" w:rsidRPr="003474D5" w:rsidRDefault="00AE0F16" w:rsidP="00AE0F16">
      <w:pPr>
        <w:shd w:val="clear" w:color="auto" w:fill="FFFFFF"/>
        <w:ind w:hanging="74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</w:pPr>
    </w:p>
    <w:p w:rsidR="00AE0F16" w:rsidRPr="003474D5" w:rsidRDefault="00AE0F16" w:rsidP="003474D5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відпов</w:t>
      </w:r>
      <w:r w:rsidR="00955CE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ідності до пункту 17 статті 55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 складаю звіт про діяльність керівництва, колегії, постійних комісій та виконавчого апарату Чернівецької обласної ради VІ</w:t>
      </w:r>
      <w:r w:rsidR="00FA111C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скликання за період </w:t>
      </w:r>
      <w:r w:rsidR="00FA111C">
        <w:rPr>
          <w:rFonts w:ascii="Times New Roman" w:hAnsi="Times New Roman" w:cs="Times New Roman"/>
          <w:color w:val="000000"/>
          <w:sz w:val="28"/>
          <w:szCs w:val="28"/>
          <w:lang w:val="uk-UA"/>
        </w:rPr>
        <w:t>з 1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грудня 2015 року до </w:t>
      </w:r>
      <w:r w:rsidR="00FA11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 </w:t>
      </w:r>
      <w:r w:rsidR="000600CD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грудня 2016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року.</w:t>
      </w:r>
    </w:p>
    <w:p w:rsidR="00AE0F16" w:rsidRPr="003474D5" w:rsidRDefault="00AE0F16" w:rsidP="003474D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sz w:val="28"/>
          <w:szCs w:val="28"/>
          <w:lang w:val="uk-UA"/>
        </w:rPr>
        <w:t>Упродовж звітного п</w:t>
      </w:r>
      <w:r w:rsidR="00FA111C">
        <w:rPr>
          <w:rFonts w:ascii="Times New Roman" w:hAnsi="Times New Roman" w:cs="Times New Roman"/>
          <w:sz w:val="28"/>
          <w:szCs w:val="28"/>
          <w:lang w:val="uk-UA"/>
        </w:rPr>
        <w:t xml:space="preserve">еріоду діяльність Чернівецької 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>обласної ради будувалася шляхом забезпечення необхідних умов та можливостей для налагодження найбільш оперативного та результативного втілення владних повноважень, консолідації зусиль депутатів задля стабільної життєдіяльності територіальних громад сі</w:t>
      </w:r>
      <w:r w:rsidR="00FA111C">
        <w:rPr>
          <w:rFonts w:ascii="Times New Roman" w:hAnsi="Times New Roman" w:cs="Times New Roman"/>
          <w:sz w:val="28"/>
          <w:szCs w:val="28"/>
          <w:lang w:val="uk-UA"/>
        </w:rPr>
        <w:t>л, селищ та міст нашої області.</w:t>
      </w:r>
    </w:p>
    <w:p w:rsidR="00AE0F16" w:rsidRPr="003474D5" w:rsidRDefault="00AE0F16" w:rsidP="003474D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За цей час відбулося </w:t>
      </w:r>
      <w:r w:rsidR="00E1133A" w:rsidRPr="003474D5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пленарних засідань </w:t>
      </w:r>
      <w:r w:rsidR="00E1133A" w:rsidRPr="003474D5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FA11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сесій обласної ради, </w:t>
      </w:r>
      <w:r w:rsidR="00FA118F">
        <w:rPr>
          <w:rFonts w:ascii="Times New Roman" w:hAnsi="Times New Roman" w:cs="Times New Roman"/>
          <w:sz w:val="28"/>
          <w:szCs w:val="28"/>
          <w:lang w:val="uk-UA"/>
        </w:rPr>
        <w:t>на яких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було розглянуто </w:t>
      </w:r>
      <w:r w:rsidR="00E1133A" w:rsidRPr="003474D5">
        <w:rPr>
          <w:rFonts w:ascii="Times New Roman" w:hAnsi="Times New Roman" w:cs="Times New Roman"/>
          <w:sz w:val="28"/>
          <w:szCs w:val="28"/>
          <w:lang w:val="uk-UA"/>
        </w:rPr>
        <w:t>310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питань порядку денного, з яких прийнято </w:t>
      </w:r>
      <w:r w:rsidR="00E1133A" w:rsidRPr="003474D5">
        <w:rPr>
          <w:rFonts w:ascii="Times New Roman" w:hAnsi="Times New Roman" w:cs="Times New Roman"/>
          <w:sz w:val="28"/>
          <w:szCs w:val="28"/>
          <w:lang w:val="uk-UA"/>
        </w:rPr>
        <w:t>296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рішень та ухвалено </w:t>
      </w:r>
      <w:r w:rsidR="00E1133A" w:rsidRPr="003474D5">
        <w:rPr>
          <w:rFonts w:ascii="Times New Roman" w:hAnsi="Times New Roman" w:cs="Times New Roman"/>
          <w:sz w:val="28"/>
          <w:szCs w:val="28"/>
          <w:lang w:val="uk-UA"/>
        </w:rPr>
        <w:t>31 протокольне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ріше</w:t>
      </w:r>
      <w:r w:rsidR="00FA118F">
        <w:rPr>
          <w:rFonts w:ascii="Times New Roman" w:hAnsi="Times New Roman" w:cs="Times New Roman"/>
          <w:sz w:val="28"/>
          <w:szCs w:val="28"/>
          <w:lang w:val="uk-UA"/>
        </w:rPr>
        <w:t>ння Чернівецької обласної ради.</w:t>
      </w:r>
    </w:p>
    <w:p w:rsidR="00AE0F16" w:rsidRPr="003474D5" w:rsidRDefault="00AE0F16" w:rsidP="003474D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На пленарних засіданнях сесій обласної ради </w:t>
      </w:r>
      <w:r w:rsidR="00E1133A" w:rsidRPr="003474D5">
        <w:rPr>
          <w:rFonts w:ascii="Times New Roman" w:hAnsi="Times New Roman" w:cs="Times New Roman"/>
          <w:sz w:val="28"/>
          <w:szCs w:val="28"/>
          <w:lang w:val="uk-UA"/>
        </w:rPr>
        <w:t>заслухано інформації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про стан виконання </w:t>
      </w:r>
      <w:r w:rsidR="00E1133A" w:rsidRPr="003474D5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обласних програм регіонального розвитку та прийнято </w:t>
      </w:r>
      <w:r w:rsidR="00E1133A" w:rsidRPr="003474D5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FA118F">
        <w:rPr>
          <w:rFonts w:ascii="Times New Roman" w:hAnsi="Times New Roman" w:cs="Times New Roman"/>
          <w:sz w:val="28"/>
          <w:szCs w:val="28"/>
          <w:lang w:val="uk-UA"/>
        </w:rPr>
        <w:t xml:space="preserve"> обласних програм.</w:t>
      </w:r>
    </w:p>
    <w:p w:rsidR="00AE0F16" w:rsidRPr="003474D5" w:rsidRDefault="00AE0F16" w:rsidP="003474D5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Депутати обласної ради </w:t>
      </w:r>
      <w:r w:rsidR="00FA118F">
        <w:rPr>
          <w:rFonts w:ascii="Times New Roman" w:hAnsi="Times New Roman" w:cs="Times New Roman"/>
          <w:color w:val="000000"/>
          <w:sz w:val="28"/>
          <w:szCs w:val="28"/>
          <w:lang w:val="en-US"/>
        </w:rPr>
        <w:t>VII</w:t>
      </w:r>
      <w:r w:rsidR="00FA118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скликання працюють у 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складі 11 постійних комісій, утворених з урахуванням основних напрямів роботи та нормативних повноважень. 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За звітний період відбулося </w:t>
      </w:r>
      <w:r w:rsidR="00E1133A" w:rsidRPr="003474D5">
        <w:rPr>
          <w:rFonts w:ascii="Times New Roman" w:hAnsi="Times New Roman" w:cs="Times New Roman"/>
          <w:sz w:val="28"/>
          <w:szCs w:val="28"/>
          <w:lang w:val="uk-UA"/>
        </w:rPr>
        <w:t>133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постійних комісій обласної ради, на яких розглянуто </w:t>
      </w:r>
      <w:r w:rsidR="00E1133A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1057 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>питань.</w:t>
      </w:r>
    </w:p>
    <w:p w:rsidR="00AE0F16" w:rsidRPr="003474D5" w:rsidRDefault="00FA118F" w:rsidP="003474D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Закону України «Про місцеве самоврядування в Україні»,</w:t>
      </w:r>
      <w:r w:rsidR="00AE0F16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впродовж звітного періоду діяла колегія обласної ради, до якої увійшли голови постійних комісій, уп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овноважені представники депутат</w:t>
      </w:r>
      <w:r w:rsidR="00AE0F16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ських фракцій, голова обласної ради, перший заступник голови обласної ради та заступник голови обласної ради, голова обласної державної адміністрації.</w:t>
      </w:r>
    </w:p>
    <w:p w:rsidR="00AE0F16" w:rsidRPr="003474D5" w:rsidRDefault="00AE0F16" w:rsidP="003474D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За звітний період проведено </w:t>
      </w:r>
      <w:r w:rsidR="00E1133A" w:rsidRPr="003474D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118F" w:rsidRPr="003474D5">
        <w:rPr>
          <w:rFonts w:ascii="Times New Roman" w:hAnsi="Times New Roman" w:cs="Times New Roman"/>
          <w:sz w:val="28"/>
          <w:szCs w:val="28"/>
          <w:lang w:val="uk-UA"/>
        </w:rPr>
        <w:t>засідань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118F" w:rsidRPr="003474D5">
        <w:rPr>
          <w:rFonts w:ascii="Times New Roman" w:hAnsi="Times New Roman" w:cs="Times New Roman"/>
          <w:sz w:val="28"/>
          <w:szCs w:val="28"/>
          <w:lang w:val="uk-UA"/>
        </w:rPr>
        <w:t>колегії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</w:t>
      </w:r>
      <w:r w:rsidRPr="003474D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, 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на яких розглянуто </w:t>
      </w:r>
      <w:r w:rsidR="00E1133A" w:rsidRPr="003474D5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3474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питань порядку денного. </w:t>
      </w:r>
    </w:p>
    <w:p w:rsidR="00AE0F16" w:rsidRPr="003474D5" w:rsidRDefault="00AE0F16" w:rsidP="003474D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0608C">
        <w:rPr>
          <w:rFonts w:ascii="Times New Roman" w:hAnsi="Times New Roman" w:cs="Times New Roman"/>
          <w:sz w:val="28"/>
          <w:szCs w:val="28"/>
          <w:lang w:val="uk-UA"/>
        </w:rPr>
        <w:t xml:space="preserve">Обласною радою було підтримано </w:t>
      </w:r>
      <w:r w:rsidR="00E1133A" w:rsidRPr="0050608C">
        <w:rPr>
          <w:rFonts w:ascii="Times New Roman" w:hAnsi="Times New Roman" w:cs="Times New Roman"/>
          <w:sz w:val="28"/>
          <w:szCs w:val="28"/>
          <w:lang w:val="uk-UA"/>
        </w:rPr>
        <w:t>67</w:t>
      </w:r>
      <w:r w:rsidRPr="0050608C">
        <w:rPr>
          <w:rFonts w:ascii="Times New Roman" w:hAnsi="Times New Roman" w:cs="Times New Roman"/>
          <w:sz w:val="28"/>
          <w:szCs w:val="28"/>
          <w:lang w:val="uk-UA"/>
        </w:rPr>
        <w:t xml:space="preserve"> депутатських запитів</w:t>
      </w:r>
      <w:r w:rsidR="0050608C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Pr="005060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608C">
        <w:rPr>
          <w:rFonts w:ascii="Times New Roman" w:hAnsi="Times New Roman" w:cs="Times New Roman"/>
          <w:sz w:val="28"/>
          <w:szCs w:val="28"/>
          <w:lang w:val="uk-UA"/>
        </w:rPr>
        <w:t xml:space="preserve">місцевих </w:t>
      </w:r>
      <w:r w:rsidRPr="0050608C">
        <w:rPr>
          <w:rFonts w:ascii="Times New Roman" w:hAnsi="Times New Roman" w:cs="Times New Roman"/>
          <w:sz w:val="28"/>
          <w:szCs w:val="28"/>
          <w:lang w:val="uk-UA"/>
        </w:rPr>
        <w:t xml:space="preserve">органів </w:t>
      </w:r>
      <w:r w:rsidR="0050608C">
        <w:rPr>
          <w:rFonts w:ascii="Times New Roman" w:hAnsi="Times New Roman" w:cs="Times New Roman"/>
          <w:sz w:val="28"/>
          <w:szCs w:val="28"/>
          <w:lang w:val="uk-UA"/>
        </w:rPr>
        <w:t xml:space="preserve">виконавчої </w:t>
      </w:r>
      <w:r w:rsidRPr="0050608C">
        <w:rPr>
          <w:rFonts w:ascii="Times New Roman" w:hAnsi="Times New Roman" w:cs="Times New Roman"/>
          <w:sz w:val="28"/>
          <w:szCs w:val="28"/>
          <w:lang w:val="uk-UA"/>
        </w:rPr>
        <w:t>влади різних рівнів.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608C">
        <w:rPr>
          <w:rFonts w:ascii="Times New Roman" w:hAnsi="Times New Roman" w:cs="Times New Roman"/>
          <w:sz w:val="28"/>
          <w:szCs w:val="28"/>
          <w:lang w:val="uk-UA"/>
        </w:rPr>
        <w:t xml:space="preserve">Також за </w:t>
      </w:r>
      <w:r w:rsidR="00E1133A" w:rsidRPr="003474D5">
        <w:rPr>
          <w:rFonts w:ascii="Times New Roman" w:hAnsi="Times New Roman" w:cs="Times New Roman"/>
          <w:sz w:val="28"/>
          <w:szCs w:val="28"/>
          <w:lang w:val="uk-UA"/>
        </w:rPr>
        <w:t>звітний період депутатами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</w:t>
      </w:r>
      <w:r w:rsidR="00E1133A" w:rsidRPr="003474D5">
        <w:rPr>
          <w:rFonts w:ascii="Times New Roman" w:hAnsi="Times New Roman" w:cs="Times New Roman"/>
          <w:sz w:val="28"/>
          <w:szCs w:val="28"/>
          <w:lang w:val="uk-UA"/>
        </w:rPr>
        <w:t>підтримано</w:t>
      </w:r>
      <w:r w:rsidR="00447D40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33A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28 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звернень 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Президента України, Верховно</w:t>
      </w:r>
      <w:r w:rsidR="00AF1E38">
        <w:rPr>
          <w:rFonts w:ascii="Times New Roman" w:hAnsi="Times New Roman" w:cs="Times New Roman"/>
          <w:color w:val="000000"/>
          <w:sz w:val="28"/>
          <w:szCs w:val="28"/>
          <w:lang w:val="uk-UA"/>
        </w:rPr>
        <w:t>ї Ради України, Кабінету Мініст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рів України та і</w:t>
      </w:r>
      <w:r w:rsidR="00AF1E38">
        <w:rPr>
          <w:rFonts w:ascii="Times New Roman" w:hAnsi="Times New Roman" w:cs="Times New Roman"/>
          <w:color w:val="000000"/>
          <w:sz w:val="28"/>
          <w:szCs w:val="28"/>
          <w:lang w:val="uk-UA"/>
        </w:rPr>
        <w:t>нших центральних органів влади щодо вирішення актуальних проблем життєдіяльності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регіону. Зокрема,</w:t>
      </w:r>
      <w:r w:rsidR="00C315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Чернівецька о</w:t>
      </w:r>
      <w:r w:rsidR="009B6945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бласна рада зверталась з </w:t>
      </w:r>
      <w:r w:rsidR="0091187F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питань </w:t>
      </w:r>
      <w:r w:rsidR="00C315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фінансування </w:t>
      </w:r>
      <w:r w:rsidR="009B6945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ремонту автомобільних доріг загального користування</w:t>
      </w:r>
      <w:r w:rsidR="00C315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Чернівецької області</w:t>
      </w:r>
      <w:r w:rsidR="009B6945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безоплатного харчування учнів загальноосвітніх навчальних закладів </w:t>
      </w:r>
      <w:r w:rsidR="00C315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регіону </w:t>
      </w:r>
      <w:r w:rsidR="009B6945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усіх рівнів, розширення повноважень органів місцевого самоврядування з розпорядження землями сільськогосподарського призначення державної власності, недопущення </w:t>
      </w:r>
      <w:r w:rsidR="009B6945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обмеження повноважень органів місцевого самоврядування у сфері </w:t>
      </w:r>
      <w:proofErr w:type="spellStart"/>
      <w:r w:rsidR="009B6945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надрокористування</w:t>
      </w:r>
      <w:proofErr w:type="spellEnd"/>
      <w:r w:rsidR="009B6945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забезпечення військовослужбовців та членів їх сімей житлом, зокрема, і учасників </w:t>
      </w:r>
      <w:proofErr w:type="spellStart"/>
      <w:r w:rsidR="009B6945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АТО</w:t>
      </w:r>
      <w:proofErr w:type="spellEnd"/>
      <w:r w:rsidR="009B6945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сплати податків та зборів суб’єктами господарювання за місцем фактичного здійснення діяльності, </w:t>
      </w:r>
      <w:r w:rsidR="001340CC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виділення коштів </w:t>
      </w:r>
      <w:r w:rsidR="0091187F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державного бюджету </w:t>
      </w:r>
      <w:r w:rsidR="001340CC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завершення реконструкції будівель Чернівецького </w:t>
      </w:r>
      <w:proofErr w:type="spellStart"/>
      <w:r w:rsidR="001340CC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перинатального</w:t>
      </w:r>
      <w:proofErr w:type="spellEnd"/>
      <w:r w:rsidR="001340CC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центру, </w:t>
      </w:r>
      <w:r w:rsidR="0091187F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а також</w:t>
      </w:r>
      <w:r w:rsidR="001340CC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реконструкцію</w:t>
      </w:r>
      <w:r w:rsidR="0091187F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кінотеатру ім.</w:t>
      </w:r>
      <w:r w:rsidR="00C315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Івана </w:t>
      </w:r>
      <w:r w:rsidR="0091187F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Миколайчука у Ч</w:t>
      </w:r>
      <w:r w:rsidR="001340CC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ернівцях у </w:t>
      </w:r>
      <w:proofErr w:type="spellStart"/>
      <w:r w:rsidR="0091187F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кіно</w:t>
      </w:r>
      <w:r w:rsidR="001340CC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мистецький</w:t>
      </w:r>
      <w:proofErr w:type="spellEnd"/>
      <w:r w:rsidR="001340CC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центр та створення музейного комплексу у </w:t>
      </w:r>
      <w:proofErr w:type="spellStart"/>
      <w:r w:rsidR="001340CC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с.Чортория</w:t>
      </w:r>
      <w:proofErr w:type="spellEnd"/>
      <w:r w:rsidR="001340CC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Кіцманського району, відновлення транспортного сп</w:t>
      </w:r>
      <w:r w:rsidR="0091187F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олучення з </w:t>
      </w:r>
      <w:proofErr w:type="spellStart"/>
      <w:r w:rsidR="0091187F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Путильським</w:t>
      </w:r>
      <w:proofErr w:type="spellEnd"/>
      <w:r w:rsidR="0091187F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районом Ч</w:t>
      </w:r>
      <w:r w:rsidR="001340CC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ернівецької області, визнання учасників добровольчих формувань </w:t>
      </w:r>
      <w:r w:rsidR="00C315D7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="001340CC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безпосередніх учасників </w:t>
      </w:r>
      <w:proofErr w:type="spellStart"/>
      <w:r w:rsidR="001340CC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АТО</w:t>
      </w:r>
      <w:proofErr w:type="spellEnd"/>
      <w:r w:rsidR="001340CC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учасниками бойових дій,</w:t>
      </w:r>
      <w:r w:rsidR="00C315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340CC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підвищення тарифів на житлово-комунальні послуги з 1 липня 2016 року, нагальної потреби у добудові пунктів проп</w:t>
      </w:r>
      <w:r w:rsidR="000600CD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уску «</w:t>
      </w:r>
      <w:proofErr w:type="spellStart"/>
      <w:r w:rsidR="000600CD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Красноїльск</w:t>
      </w:r>
      <w:proofErr w:type="spellEnd"/>
      <w:r w:rsidR="000600CD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» та «</w:t>
      </w:r>
      <w:proofErr w:type="spellStart"/>
      <w:r w:rsidR="000600CD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Дяківці</w:t>
      </w:r>
      <w:proofErr w:type="spellEnd"/>
      <w:r w:rsidR="000600CD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», надання статусу учасника бойових дій учасникам Революції Гідності, які отримали тілесні ушкодження</w:t>
      </w:r>
      <w:r w:rsidR="00C315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протистояння на Майдані</w:t>
      </w:r>
      <w:r w:rsidR="000600CD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удосконалення порядку призначення та надання населенню субсидій, завершення переговорного процесу та укладання міжурядової угоди між Україною та Румунією «Про правила місцевого прикордонного руху», недопущення скасування мораторію на вивіз необробленої </w:t>
      </w:r>
      <w:proofErr w:type="spellStart"/>
      <w:r w:rsidR="00C315D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лісодеревини</w:t>
      </w:r>
      <w:proofErr w:type="spellEnd"/>
      <w:r w:rsidR="00C315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межі країни, а також </w:t>
      </w:r>
      <w:r w:rsidR="00C315D7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 ситуації, яка склалася в агр</w:t>
      </w:r>
      <w:r w:rsidR="00C315D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опромисловому комплексі України.</w:t>
      </w:r>
    </w:p>
    <w:p w:rsidR="00AE0F16" w:rsidRPr="003474D5" w:rsidRDefault="00AE0F16" w:rsidP="003474D5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Більшість з цих звернень отримала підтримку з боку керівництва держави, парламенту та уряду, знайшла розуміння серед депутатського корпусу обласних рад різних областей нашої країни.</w:t>
      </w:r>
    </w:p>
    <w:p w:rsidR="001E71FE" w:rsidRPr="003474D5" w:rsidRDefault="001E71FE" w:rsidP="003474D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території Чернівецької області триває реформування системи державного управління та місцевого самоврядування в частині децентралізації влади. Станом на 1 </w:t>
      </w:r>
      <w:r w:rsidR="00301AFA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грудня 2016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в області створено </w:t>
      </w:r>
      <w:r w:rsidR="00E1133A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повноцінно функціонують 1</w:t>
      </w:r>
      <w:r w:rsidR="00301AFA"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об’єднаних територіальних г</w:t>
      </w:r>
      <w:r w:rsidR="00447D40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ромад, </w:t>
      </w:r>
      <w:r w:rsidR="00301AF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призначено вибори голів та депутатів місцевих рад ще 6 громад, 2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об’</w:t>
      </w:r>
      <w:r w:rsidR="00E1133A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єднані територіальні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</w:t>
      </w:r>
      <w:r w:rsidR="00E1133A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перебувають на стадії формування.</w:t>
      </w:r>
    </w:p>
    <w:p w:rsidR="00AE0F16" w:rsidRPr="003474D5" w:rsidRDefault="00CB445E" w:rsidP="003474D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Рішеннями обласної ради </w:t>
      </w:r>
      <w:r w:rsidRPr="00301AF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звітний період було затверджено 20 регіональних програм.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Метою їх прийняття стала необхідність прискорення соціально-економічного та культурного розвитку регіону. Йдеться про такі важливі складові життєдіяльності області, як соціальна підтримка ма</w:t>
      </w:r>
      <w:r w:rsidR="00301AFA">
        <w:rPr>
          <w:rFonts w:ascii="Times New Roman" w:hAnsi="Times New Roman" w:cs="Times New Roman"/>
          <w:color w:val="000000"/>
          <w:sz w:val="28"/>
          <w:szCs w:val="28"/>
          <w:lang w:val="uk-UA"/>
        </w:rPr>
        <w:t>лозабезпечених верств населення, розвиток туризму,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оздоровленн</w:t>
      </w:r>
      <w:r w:rsidR="00301AFA">
        <w:rPr>
          <w:rFonts w:ascii="Times New Roman" w:hAnsi="Times New Roman" w:cs="Times New Roman"/>
          <w:color w:val="000000"/>
          <w:sz w:val="28"/>
          <w:szCs w:val="28"/>
          <w:lang w:val="uk-UA"/>
        </w:rPr>
        <w:t>я та відпочинок дітей, молодіжна політика,</w:t>
      </w:r>
      <w:r w:rsidR="00EE2528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підтримка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національно-культурних то</w:t>
      </w:r>
      <w:r w:rsidR="00301AF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вариств та української діаспори,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забезпечення діяльності та розширення інтегрованої інформаційно-аналітичної системи управління фінансов</w:t>
      </w:r>
      <w:r w:rsidR="00301AFA">
        <w:rPr>
          <w:rFonts w:ascii="Times New Roman" w:hAnsi="Times New Roman" w:cs="Times New Roman"/>
          <w:color w:val="000000"/>
          <w:sz w:val="28"/>
          <w:szCs w:val="28"/>
          <w:lang w:val="uk-UA"/>
        </w:rPr>
        <w:t>ими ресурсами місцевих бюджетів,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забезпечення</w:t>
      </w:r>
      <w:r w:rsidR="00301A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інформаційних потреб населення,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відзначення свят державного, регіонального, місцевого значе</w:t>
      </w:r>
      <w:r w:rsidR="00301AF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 та здійснення інших заходів,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забезпечення проведення заходів терито</w:t>
      </w:r>
      <w:r w:rsidR="00301AFA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ріальної оборони та мобілізації,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впровадження де</w:t>
      </w:r>
      <w:r w:rsidR="00301AFA">
        <w:rPr>
          <w:rFonts w:ascii="Times New Roman" w:hAnsi="Times New Roman" w:cs="Times New Roman"/>
          <w:color w:val="000000"/>
          <w:sz w:val="28"/>
          <w:szCs w:val="28"/>
          <w:lang w:val="uk-UA"/>
        </w:rPr>
        <w:t>ржавної політики органами влади,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запобігання дитячій бездоглядності та розвитку сімейних форм вихо</w:t>
      </w:r>
      <w:r w:rsidR="00301AF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вання, профілактика правопорушень,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підтримка та р</w:t>
      </w:r>
      <w:r w:rsidR="00301AF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озвиток комунальних підприємств,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розвиток міжнародної діяльності </w:t>
      </w:r>
      <w:r w:rsidR="00301AFA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залучення зовнішніх ресурсів,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охорона навколишнього природного середовища тощо.</w:t>
      </w:r>
      <w:r w:rsidR="00EE2528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AE0F16" w:rsidRPr="003474D5" w:rsidRDefault="00AE0F16" w:rsidP="003474D5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Порядок формування, подання, затвердження та реалізації регіональних (комплексних) програм чітко регулюється з</w:t>
      </w:r>
      <w:r w:rsidR="00A755CB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гідно з положеннями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Порядку 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ф</w:t>
      </w:r>
      <w:r w:rsidR="00301AFA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ормування, фінансування та моні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торингу виконання місцевих програм. Це дає можливість здійснювати дієвий контроль за їх виконанням, </w:t>
      </w:r>
      <w:r w:rsidR="00301AF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підвищи</w:t>
      </w:r>
      <w:r w:rsidRPr="003474D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ти оперативність та ефективність практичної реалізації цих програм.</w:t>
      </w:r>
    </w:p>
    <w:p w:rsidR="00AE0F16" w:rsidRPr="003474D5" w:rsidRDefault="00AE0F16" w:rsidP="003474D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Організаційне, правове, і</w:t>
      </w:r>
      <w:r w:rsidR="00301AFA">
        <w:rPr>
          <w:rFonts w:ascii="Times New Roman" w:hAnsi="Times New Roman" w:cs="Times New Roman"/>
          <w:color w:val="000000"/>
          <w:sz w:val="28"/>
          <w:szCs w:val="28"/>
          <w:lang w:val="uk-UA"/>
        </w:rPr>
        <w:t>нформаційне, аналітичне та матеріа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льно-технічне забезпече</w:t>
      </w:r>
      <w:r w:rsidR="008254C8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 діяльності депутатів, керів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ництва та колегіальни</w:t>
      </w:r>
      <w:r w:rsidR="00301AFA">
        <w:rPr>
          <w:rFonts w:ascii="Times New Roman" w:hAnsi="Times New Roman" w:cs="Times New Roman"/>
          <w:color w:val="000000"/>
          <w:sz w:val="28"/>
          <w:szCs w:val="28"/>
          <w:lang w:val="uk-UA"/>
        </w:rPr>
        <w:t>х органів обласної ради здійс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нює її виконавчий апарат, особовий склад якого відп</w:t>
      </w:r>
      <w:r w:rsidR="00301AFA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овідає за належ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ний рівень організації роботи депутатського корпусу, керів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ництва та колегії вищого органу представницької влади краю. </w:t>
      </w:r>
    </w:p>
    <w:p w:rsidR="00AE0F16" w:rsidRPr="003474D5" w:rsidRDefault="00AE0F16" w:rsidP="003474D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Станом на </w:t>
      </w:r>
      <w:r w:rsidR="00A755CB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B47AB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грудня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201</w:t>
      </w:r>
      <w:r w:rsidR="002B47AB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у виконавчому апараті обласної ради працювало </w:t>
      </w:r>
      <w:r w:rsidR="002B47AB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38 осіб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у т.ч. </w:t>
      </w:r>
      <w:r w:rsidR="002B47AB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працівник</w:t>
      </w:r>
      <w:r w:rsidR="00A755CB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господарської групи. </w:t>
      </w:r>
      <w:r w:rsidR="00301A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Усі посадовці мають повну вищу 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освіту, у тому числі </w:t>
      </w:r>
      <w:r w:rsidR="002B47AB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12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755CB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мають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дипломи магістрів державного управління, державної служби, управління суспільним розвитком. </w:t>
      </w:r>
      <w:r w:rsidR="002B47AB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28 посадових осіб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місцевого самоврядування мають стаж служби </w:t>
      </w:r>
      <w:r w:rsidR="002B47AB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понад десять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років.</w:t>
      </w:r>
    </w:p>
    <w:p w:rsidR="00AE0F16" w:rsidRPr="003474D5" w:rsidRDefault="00AE0F16" w:rsidP="003474D5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Впродовж звітного періоду тривала робота щодо 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>вдосконалення засобів управління та ефективного використання об’єктів спільної власності територіальних громад сіл, селищ</w:t>
      </w:r>
      <w:r w:rsidR="00301AFA">
        <w:rPr>
          <w:rFonts w:ascii="Times New Roman" w:hAnsi="Times New Roman" w:cs="Times New Roman"/>
          <w:sz w:val="28"/>
          <w:szCs w:val="28"/>
          <w:lang w:val="uk-UA"/>
        </w:rPr>
        <w:t xml:space="preserve"> та міст Чернівецької області.</w:t>
      </w:r>
    </w:p>
    <w:p w:rsidR="00A755CB" w:rsidRPr="003474D5" w:rsidRDefault="00AE0F16" w:rsidP="003474D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Так, фахівцями профільного структурного підрозділу виконавчого апарату були розроблені та подані на затвердження сесії обласної ради зміни до положень, які регламентують питання орендних відносин щодо майна </w:t>
      </w:r>
      <w:r w:rsidR="00301AFA">
        <w:rPr>
          <w:rFonts w:ascii="Times New Roman" w:hAnsi="Times New Roman" w:cs="Times New Roman"/>
          <w:sz w:val="28"/>
          <w:szCs w:val="28"/>
          <w:lang w:val="uk-UA"/>
        </w:rPr>
        <w:t>спільної комунальної власності.</w:t>
      </w:r>
    </w:p>
    <w:p w:rsidR="00AE0F16" w:rsidRPr="003474D5" w:rsidRDefault="00301AFA" w:rsidP="003474D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Станом на 1 грудня 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477CA4" w:rsidRPr="003474D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до загального </w:t>
      </w:r>
      <w:r w:rsidR="0070285E" w:rsidRPr="003474D5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об’єктів спільної власності територіальних гро</w:t>
      </w:r>
      <w:r w:rsidR="00AC5048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мад </w:t>
      </w:r>
      <w:r w:rsidR="0070285E" w:rsidRPr="003474D5">
        <w:rPr>
          <w:rFonts w:ascii="Times New Roman" w:hAnsi="Times New Roman" w:cs="Times New Roman"/>
          <w:sz w:val="28"/>
          <w:szCs w:val="28"/>
          <w:lang w:val="uk-UA"/>
        </w:rPr>
        <w:t>сіл, селищ, міст Чернівецької області входя</w:t>
      </w:r>
      <w:r w:rsidR="00AC5048" w:rsidRPr="003474D5">
        <w:rPr>
          <w:rFonts w:ascii="Times New Roman" w:hAnsi="Times New Roman" w:cs="Times New Roman"/>
          <w:sz w:val="28"/>
          <w:szCs w:val="28"/>
          <w:lang w:val="uk-UA"/>
        </w:rPr>
        <w:t>ть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5048" w:rsidRPr="003474D5">
        <w:rPr>
          <w:rFonts w:ascii="Times New Roman" w:hAnsi="Times New Roman" w:cs="Times New Roman"/>
          <w:sz w:val="28"/>
          <w:szCs w:val="28"/>
          <w:lang w:val="uk-UA"/>
        </w:rPr>
        <w:t>98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об’єктів, серед них: </w:t>
      </w:r>
      <w:r w:rsidR="00AC5048" w:rsidRPr="003474D5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об’єктів департаменту охорони здоров’я </w:t>
      </w:r>
      <w:r>
        <w:rPr>
          <w:rFonts w:ascii="Times New Roman" w:hAnsi="Times New Roman" w:cs="Times New Roman"/>
          <w:sz w:val="28"/>
          <w:szCs w:val="28"/>
          <w:lang w:val="uk-UA"/>
        </w:rPr>
        <w:t>Чернівецької обласної державної адміністрації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C5048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28 об’єктів </w:t>
      </w:r>
      <w:r>
        <w:rPr>
          <w:rFonts w:ascii="Times New Roman" w:hAnsi="Times New Roman" w:cs="Times New Roman"/>
          <w:sz w:val="28"/>
          <w:szCs w:val="28"/>
          <w:lang w:val="uk-UA"/>
        </w:rPr>
        <w:t>департаменту освіти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і науки </w:t>
      </w:r>
      <w:r>
        <w:rPr>
          <w:rFonts w:ascii="Times New Roman" w:hAnsi="Times New Roman" w:cs="Times New Roman"/>
          <w:sz w:val="28"/>
          <w:szCs w:val="28"/>
          <w:lang w:val="uk-UA"/>
        </w:rPr>
        <w:t>Чернівецької обласної державної адміністрації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C5048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13 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об’єктів управління культури </w:t>
      </w:r>
      <w:r>
        <w:rPr>
          <w:rFonts w:ascii="Times New Roman" w:hAnsi="Times New Roman" w:cs="Times New Roman"/>
          <w:sz w:val="28"/>
          <w:szCs w:val="28"/>
          <w:lang w:val="uk-UA"/>
        </w:rPr>
        <w:t>Чернівецької обласної державної адміністрації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C5048" w:rsidRPr="003474D5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285E" w:rsidRPr="003474D5">
        <w:rPr>
          <w:rFonts w:ascii="Times New Roman" w:hAnsi="Times New Roman" w:cs="Times New Roman"/>
          <w:sz w:val="28"/>
          <w:szCs w:val="28"/>
          <w:lang w:val="uk-UA"/>
        </w:rPr>
        <w:t>об’єктів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соціального захисту населення </w:t>
      </w:r>
      <w:r>
        <w:rPr>
          <w:rFonts w:ascii="Times New Roman" w:hAnsi="Times New Roman" w:cs="Times New Roman"/>
          <w:sz w:val="28"/>
          <w:szCs w:val="28"/>
          <w:lang w:val="uk-UA"/>
        </w:rPr>
        <w:t>Чернівецької обласної державної адміністрації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C5048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70285E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и управління 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житлово-комунального господарства </w:t>
      </w:r>
      <w:r>
        <w:rPr>
          <w:rFonts w:ascii="Times New Roman" w:hAnsi="Times New Roman" w:cs="Times New Roman"/>
          <w:sz w:val="28"/>
          <w:szCs w:val="28"/>
          <w:lang w:val="uk-UA"/>
        </w:rPr>
        <w:t>Чернівецької обласної державної адміністрації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285E" w:rsidRPr="003474D5">
        <w:rPr>
          <w:rFonts w:ascii="Times New Roman" w:hAnsi="Times New Roman" w:cs="Times New Roman"/>
          <w:sz w:val="28"/>
          <w:szCs w:val="28"/>
          <w:lang w:val="uk-UA"/>
        </w:rPr>
        <w:t>2 об’єкти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фінансів </w:t>
      </w:r>
      <w:r>
        <w:rPr>
          <w:rFonts w:ascii="Times New Roman" w:hAnsi="Times New Roman" w:cs="Times New Roman"/>
          <w:sz w:val="28"/>
          <w:szCs w:val="28"/>
          <w:lang w:val="uk-UA"/>
        </w:rPr>
        <w:t>Чернівецької обласної державної адміністрації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285E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2 об’єкти обласної ради, </w:t>
      </w:r>
      <w:r>
        <w:rPr>
          <w:rFonts w:ascii="Times New Roman" w:hAnsi="Times New Roman" w:cs="Times New Roman"/>
          <w:sz w:val="28"/>
          <w:szCs w:val="28"/>
          <w:lang w:val="uk-UA"/>
        </w:rPr>
        <w:t>1 підприємство Чернівецької обласної державної адміністрації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285E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1 об’єкт відділу комунікацій з громадськістю </w:t>
      </w:r>
      <w:r>
        <w:rPr>
          <w:rFonts w:ascii="Times New Roman" w:hAnsi="Times New Roman" w:cs="Times New Roman"/>
          <w:sz w:val="28"/>
          <w:szCs w:val="28"/>
          <w:lang w:val="uk-UA"/>
        </w:rPr>
        <w:t>Чернівецької обласної державної адміністрації</w:t>
      </w:r>
      <w:r w:rsidR="0070285E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2 державні установи, на балансі яких знаходиться </w:t>
      </w:r>
      <w:r w:rsidR="0070285E" w:rsidRPr="003474D5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>будинковолодінь</w:t>
      </w:r>
      <w:proofErr w:type="spellEnd"/>
      <w:r w:rsidR="00AE0F16" w:rsidRPr="003474D5">
        <w:rPr>
          <w:rFonts w:ascii="Times New Roman" w:hAnsi="Times New Roman" w:cs="Times New Roman"/>
          <w:sz w:val="28"/>
          <w:szCs w:val="28"/>
          <w:lang w:val="uk-UA"/>
        </w:rPr>
        <w:t>, які є спільною власністю територіальних громад області (Державний архів Чернівецької області, ДУ «Чернівецький обласний лабораторний центр Державної санітарно-епідеміологічної служби України»).</w:t>
      </w:r>
    </w:p>
    <w:p w:rsidR="007029AB" w:rsidRDefault="00AE0F16" w:rsidP="007029A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Протягом звітного періоду укладено </w:t>
      </w:r>
      <w:r w:rsidR="0070285E" w:rsidRPr="003474D5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нових договорів оренди на загальну площу </w:t>
      </w:r>
      <w:r w:rsidR="0070285E" w:rsidRPr="003474D5">
        <w:rPr>
          <w:rFonts w:ascii="Times New Roman" w:hAnsi="Times New Roman" w:cs="Times New Roman"/>
          <w:sz w:val="28"/>
          <w:szCs w:val="28"/>
          <w:lang w:val="uk-UA"/>
        </w:rPr>
        <w:t>3047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Pr="003474D5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. Загальна сума місячної орендної плати згідно з укладеними договорами складає </w:t>
      </w:r>
      <w:r w:rsidR="0070285E" w:rsidRPr="003474D5">
        <w:rPr>
          <w:rFonts w:ascii="Times New Roman" w:hAnsi="Times New Roman" w:cs="Times New Roman"/>
          <w:sz w:val="28"/>
          <w:szCs w:val="28"/>
          <w:lang w:val="uk-UA"/>
        </w:rPr>
        <w:t>47,2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тис. грн. Серед зазначених договорів </w:t>
      </w:r>
      <w:r w:rsidR="0070285E" w:rsidRPr="003474D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договори укладено з пільговою орендною платою 1 грн. в рік на загальну площу 1</w:t>
      </w:r>
      <w:r w:rsidR="0070285E" w:rsidRPr="003474D5">
        <w:rPr>
          <w:rFonts w:ascii="Times New Roman" w:hAnsi="Times New Roman" w:cs="Times New Roman"/>
          <w:sz w:val="28"/>
          <w:szCs w:val="28"/>
          <w:lang w:val="uk-UA"/>
        </w:rPr>
        <w:t>950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Pr="003474D5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29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За умовами виконання </w:t>
      </w:r>
      <w:r w:rsidR="0070285E" w:rsidRPr="003474D5">
        <w:rPr>
          <w:rFonts w:ascii="Times New Roman" w:hAnsi="Times New Roman" w:cs="Times New Roman"/>
          <w:sz w:val="28"/>
          <w:szCs w:val="28"/>
          <w:lang w:val="uk-UA"/>
        </w:rPr>
        <w:t>93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договор</w:t>
      </w:r>
      <w:r w:rsidR="002A1870" w:rsidRPr="003474D5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короткострокової оренди загальна сума надходжень склала </w:t>
      </w:r>
      <w:r w:rsidR="0070285E" w:rsidRPr="003474D5">
        <w:rPr>
          <w:rFonts w:ascii="Times New Roman" w:hAnsi="Times New Roman" w:cs="Times New Roman"/>
          <w:sz w:val="28"/>
          <w:szCs w:val="28"/>
          <w:lang w:val="uk-UA"/>
        </w:rPr>
        <w:t>434,6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3EC3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тис. 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AE0F16" w:rsidRPr="003474D5" w:rsidRDefault="00AE0F16" w:rsidP="007029A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Загалом, станом на </w:t>
      </w:r>
      <w:r w:rsidR="002A1870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477CA4" w:rsidRPr="003474D5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2A1870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477CA4" w:rsidRPr="003474D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2A1870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були укладені та діяли </w:t>
      </w:r>
      <w:r w:rsidR="000F3EC3" w:rsidRPr="003474D5">
        <w:rPr>
          <w:rFonts w:ascii="Times New Roman" w:hAnsi="Times New Roman" w:cs="Times New Roman"/>
          <w:sz w:val="28"/>
          <w:szCs w:val="28"/>
          <w:lang w:val="uk-UA"/>
        </w:rPr>
        <w:t>170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договорів оренди на загальну площу </w:t>
      </w:r>
      <w:r w:rsidR="000F3EC3" w:rsidRPr="003474D5">
        <w:rPr>
          <w:rFonts w:ascii="Times New Roman" w:hAnsi="Times New Roman" w:cs="Times New Roman"/>
          <w:sz w:val="28"/>
          <w:szCs w:val="28"/>
          <w:lang w:val="uk-UA"/>
        </w:rPr>
        <w:t>20,9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тисяч м</w:t>
      </w:r>
      <w:r w:rsidRPr="003474D5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7029A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Загальна сума місячної орендної плати згідно цих договорів складає </w:t>
      </w:r>
      <w:r w:rsidR="000F3EC3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605,9 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тис. грн. Річна сума орендної плати становить </w:t>
      </w:r>
      <w:r w:rsidR="000F3EC3" w:rsidRPr="003474D5">
        <w:rPr>
          <w:rFonts w:ascii="Times New Roman" w:hAnsi="Times New Roman" w:cs="Times New Roman"/>
          <w:sz w:val="28"/>
          <w:szCs w:val="28"/>
          <w:lang w:val="uk-UA"/>
        </w:rPr>
        <w:t>7,2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млн. грн.</w:t>
      </w:r>
    </w:p>
    <w:p w:rsidR="001E71FE" w:rsidRPr="003474D5" w:rsidRDefault="00AE0F16" w:rsidP="003474D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Також діють </w:t>
      </w:r>
      <w:r w:rsidR="000F3EC3" w:rsidRPr="003474D5">
        <w:rPr>
          <w:rFonts w:ascii="Times New Roman" w:hAnsi="Times New Roman" w:cs="Times New Roman"/>
          <w:sz w:val="28"/>
          <w:szCs w:val="28"/>
          <w:lang w:val="uk-UA"/>
        </w:rPr>
        <w:t>44 договори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позички (безоплатного користування) на загальну площу </w:t>
      </w:r>
      <w:r w:rsidR="000F3EC3" w:rsidRPr="003474D5">
        <w:rPr>
          <w:rFonts w:ascii="Times New Roman" w:hAnsi="Times New Roman" w:cs="Times New Roman"/>
          <w:sz w:val="28"/>
          <w:szCs w:val="28"/>
          <w:lang w:val="uk-UA"/>
        </w:rPr>
        <w:t>20,7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тис. м</w:t>
      </w:r>
      <w:r w:rsidRPr="003474D5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1870" w:rsidRPr="003474D5" w:rsidRDefault="00AE0F16" w:rsidP="003474D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Важливою складовою нашої роботи є оперативне та дієве реагування на звернення жителів області до крайового парлам</w:t>
      </w:r>
      <w:r w:rsidR="000F3EC3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енту та до голови обласної ради</w:t>
      </w:r>
      <w:r w:rsidR="00542B8F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 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посадової особи місцевого самоврядування. За звітний період надійшло </w:t>
      </w:r>
      <w:r w:rsidR="000F3EC3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174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письмових звернення. Понад </w:t>
      </w:r>
      <w:r w:rsidR="000F3EC3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21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звернен</w:t>
      </w:r>
      <w:r w:rsidR="000F3EC3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ня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громадян надійшли під час проведення особистого прийому керівництвом обласної ради. </w:t>
      </w:r>
    </w:p>
    <w:p w:rsidR="00AE0F16" w:rsidRPr="003474D5" w:rsidRDefault="007029AB" w:rsidP="003474D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Найбільше звернень надійшло</w:t>
      </w:r>
      <w:r w:rsidR="00AE0F16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питань соціального захисту 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 пенсійного забезпечення, комунального та шляхо</w:t>
      </w:r>
      <w:r w:rsidR="00AE0F16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вого господар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ства, земельних відносин, дотри</w:t>
      </w:r>
      <w:r w:rsidR="00AE0F16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мання зако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AE0F16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ності та правопорядку. </w:t>
      </w:r>
    </w:p>
    <w:p w:rsidR="00EE2528" w:rsidRPr="003474D5" w:rsidRDefault="007029AB" w:rsidP="003474D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EE2528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продовж звітного періоду</w:t>
      </w:r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обласна рада </w:t>
      </w:r>
      <w:r w:rsidR="00C641AE">
        <w:rPr>
          <w:rFonts w:ascii="Times New Roman" w:hAnsi="Times New Roman" w:cs="Times New Roman"/>
          <w:sz w:val="28"/>
          <w:szCs w:val="28"/>
          <w:lang w:val="uk-UA"/>
        </w:rPr>
        <w:t>провела та взяла активну</w:t>
      </w:r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участь </w:t>
      </w:r>
      <w:r w:rsidR="00C641AE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заходах, </w:t>
      </w:r>
      <w:r w:rsidR="00C641AE">
        <w:rPr>
          <w:rFonts w:ascii="Times New Roman" w:hAnsi="Times New Roman" w:cs="Times New Roman"/>
          <w:sz w:val="28"/>
          <w:szCs w:val="28"/>
          <w:lang w:val="uk-UA"/>
        </w:rPr>
        <w:t>спрямованих</w:t>
      </w:r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на підвищення спроможності місцевих рад у проектному менеджменті, залученні додаткових фінансових ресурсів у економіку громад</w:t>
      </w:r>
      <w:r w:rsidR="00C641AE">
        <w:rPr>
          <w:rFonts w:ascii="Times New Roman" w:hAnsi="Times New Roman" w:cs="Times New Roman"/>
          <w:sz w:val="28"/>
          <w:szCs w:val="28"/>
          <w:lang w:val="uk-UA"/>
        </w:rPr>
        <w:t xml:space="preserve"> (к</w:t>
      </w:r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руглий стіл «Проблеми та перспективи розвитку об’єднаних територіальних громад», Міжнародний бізнес-форум «Взаємна співпраця – шлях до розвитку українських та польських підприємств», </w:t>
      </w:r>
      <w:r w:rsidR="008E64E0">
        <w:rPr>
          <w:rFonts w:ascii="Times New Roman" w:hAnsi="Times New Roman" w:cs="Times New Roman"/>
          <w:sz w:val="28"/>
          <w:szCs w:val="28"/>
          <w:lang w:val="uk-UA"/>
        </w:rPr>
        <w:t>круглий стіл</w:t>
      </w:r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«Підтримка реформи децентралізації в Україні», </w:t>
      </w:r>
      <w:r w:rsidR="008E64E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рактичний семінар-навчання з питань підготовки, порядку проведення, оцінки та відбору проектів регіонального розвитку, Міжнародна науково-практична конференція «Транскордонне співробітництво: ключові ідеї та перспективи», </w:t>
      </w:r>
      <w:r w:rsidR="008E64E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>країнсько-</w:t>
      </w:r>
      <w:r w:rsidR="008E64E0">
        <w:rPr>
          <w:rFonts w:ascii="Times New Roman" w:hAnsi="Times New Roman" w:cs="Times New Roman"/>
          <w:sz w:val="28"/>
          <w:szCs w:val="28"/>
          <w:lang w:val="uk-UA"/>
        </w:rPr>
        <w:t>польська робоча зустріч на тему</w:t>
      </w:r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«Перспективи розвитку туризму в Карпатському </w:t>
      </w:r>
      <w:proofErr w:type="spellStart"/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>Єврорегіоні</w:t>
      </w:r>
      <w:proofErr w:type="spellEnd"/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8E64E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>руглий стіл: «Європейська стратегія Дунайського регіону: можливості т</w:t>
      </w:r>
      <w:r w:rsidR="008E64E0">
        <w:rPr>
          <w:rFonts w:ascii="Times New Roman" w:hAnsi="Times New Roman" w:cs="Times New Roman"/>
          <w:sz w:val="28"/>
          <w:szCs w:val="28"/>
          <w:lang w:val="uk-UA"/>
        </w:rPr>
        <w:t>а завдання для Чернівецької області</w:t>
      </w:r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8E64E0">
        <w:rPr>
          <w:rFonts w:ascii="Times New Roman" w:hAnsi="Times New Roman" w:cs="Times New Roman"/>
          <w:sz w:val="28"/>
          <w:szCs w:val="28"/>
          <w:lang w:val="uk-UA"/>
        </w:rPr>
        <w:t xml:space="preserve">практичний семінар </w:t>
      </w:r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«Головні аспекти розробки інфраструктурних проектів у відповідності до формату аплікаційних вимог </w:t>
      </w:r>
      <w:proofErr w:type="spellStart"/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>ДФРР</w:t>
      </w:r>
      <w:proofErr w:type="spellEnd"/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8E64E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країнсько-молдавсько-румунський бізнес-форум, </w:t>
      </w:r>
      <w:r w:rsidR="008E64E0">
        <w:rPr>
          <w:rFonts w:ascii="Times New Roman" w:hAnsi="Times New Roman" w:cs="Times New Roman"/>
          <w:sz w:val="28"/>
          <w:szCs w:val="28"/>
          <w:lang w:val="uk-UA"/>
        </w:rPr>
        <w:t>круглий стіл</w:t>
      </w:r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«Удосконалення законодавства у сфері транскордонного співробітництва», круглий стіл «Проблеми та перспективи розвитку гірських районів України», Міжнародна конференція «Європейська стратегія Дунайського регіону: мож</w:t>
      </w:r>
      <w:r w:rsidR="008E64E0">
        <w:rPr>
          <w:rFonts w:ascii="Times New Roman" w:hAnsi="Times New Roman" w:cs="Times New Roman"/>
          <w:sz w:val="28"/>
          <w:szCs w:val="28"/>
          <w:lang w:val="uk-UA"/>
        </w:rPr>
        <w:t>ливості та виклики для України»), а також у програмах та проектах міжнародної співпраці</w:t>
      </w:r>
      <w:r w:rsidR="005C281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>Програ</w:t>
      </w:r>
      <w:r w:rsidR="005C2815">
        <w:rPr>
          <w:rFonts w:ascii="Times New Roman" w:hAnsi="Times New Roman" w:cs="Times New Roman"/>
          <w:sz w:val="28"/>
          <w:szCs w:val="28"/>
          <w:lang w:val="uk-UA"/>
        </w:rPr>
        <w:t>ма</w:t>
      </w:r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ЄС «U-LEAD з Європою: місцеве розширення прав і можливостей, підзвітність та розвиток», Проект «Підтримка реформи децентралізації в Україні», Проект ЄС/</w:t>
      </w:r>
      <w:proofErr w:type="spellStart"/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>ПРООН</w:t>
      </w:r>
      <w:proofErr w:type="spellEnd"/>
      <w:r w:rsidR="00EE2528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«Місцевий розвиток, орієнтований на громаду», Проект «Покращення умов життя та соціальна адаптація внутрішньо переміщених осіб в Чернівецькій області».</w:t>
      </w:r>
    </w:p>
    <w:p w:rsidR="00EE2528" w:rsidRPr="003474D5" w:rsidRDefault="00EE2528" w:rsidP="003474D5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3474D5">
        <w:rPr>
          <w:rFonts w:ascii="Times New Roman" w:hAnsi="Times New Roman"/>
          <w:sz w:val="28"/>
          <w:szCs w:val="28"/>
          <w:lang w:val="uk-UA"/>
        </w:rPr>
        <w:t xml:space="preserve">Аналогічні проекти знайшли своє успішне застосування в селах та містах </w:t>
      </w:r>
      <w:proofErr w:type="spellStart"/>
      <w:r w:rsidRPr="003474D5">
        <w:rPr>
          <w:rFonts w:ascii="Times New Roman" w:hAnsi="Times New Roman"/>
          <w:sz w:val="28"/>
          <w:szCs w:val="28"/>
          <w:lang w:val="uk-UA"/>
        </w:rPr>
        <w:t>Вижницького</w:t>
      </w:r>
      <w:proofErr w:type="spellEnd"/>
      <w:r w:rsidRPr="003474D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474D5">
        <w:rPr>
          <w:rFonts w:ascii="Times New Roman" w:hAnsi="Times New Roman"/>
          <w:sz w:val="28"/>
          <w:szCs w:val="28"/>
          <w:lang w:val="uk-UA"/>
        </w:rPr>
        <w:t>Герцаївського</w:t>
      </w:r>
      <w:proofErr w:type="spellEnd"/>
      <w:r w:rsidRPr="003474D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474D5">
        <w:rPr>
          <w:rFonts w:ascii="Times New Roman" w:hAnsi="Times New Roman"/>
          <w:sz w:val="28"/>
          <w:szCs w:val="28"/>
          <w:lang w:val="uk-UA"/>
        </w:rPr>
        <w:t>Заставнівського</w:t>
      </w:r>
      <w:proofErr w:type="spellEnd"/>
      <w:r w:rsidRPr="003474D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474D5">
        <w:rPr>
          <w:rFonts w:ascii="Times New Roman" w:hAnsi="Times New Roman"/>
          <w:sz w:val="28"/>
          <w:szCs w:val="28"/>
          <w:lang w:val="uk-UA"/>
        </w:rPr>
        <w:t>Кельменецького</w:t>
      </w:r>
      <w:proofErr w:type="spellEnd"/>
      <w:r w:rsidRPr="003474D5">
        <w:rPr>
          <w:rFonts w:ascii="Times New Roman" w:hAnsi="Times New Roman"/>
          <w:sz w:val="28"/>
          <w:szCs w:val="28"/>
          <w:lang w:val="uk-UA"/>
        </w:rPr>
        <w:t xml:space="preserve">, Кіцманського, </w:t>
      </w:r>
      <w:proofErr w:type="spellStart"/>
      <w:r w:rsidRPr="003474D5">
        <w:rPr>
          <w:rFonts w:ascii="Times New Roman" w:hAnsi="Times New Roman"/>
          <w:sz w:val="28"/>
          <w:szCs w:val="28"/>
          <w:lang w:val="uk-UA"/>
        </w:rPr>
        <w:t>Новоселицького</w:t>
      </w:r>
      <w:proofErr w:type="spellEnd"/>
      <w:r w:rsidRPr="003474D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474D5">
        <w:rPr>
          <w:rFonts w:ascii="Times New Roman" w:hAnsi="Times New Roman"/>
          <w:sz w:val="28"/>
          <w:szCs w:val="28"/>
          <w:lang w:val="uk-UA"/>
        </w:rPr>
        <w:t>Путильського</w:t>
      </w:r>
      <w:proofErr w:type="spellEnd"/>
      <w:r w:rsidRPr="003474D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474D5">
        <w:rPr>
          <w:rFonts w:ascii="Times New Roman" w:hAnsi="Times New Roman"/>
          <w:sz w:val="28"/>
          <w:szCs w:val="28"/>
          <w:lang w:val="uk-UA"/>
        </w:rPr>
        <w:t>Сторожинецького</w:t>
      </w:r>
      <w:proofErr w:type="spellEnd"/>
      <w:r w:rsidRPr="003474D5">
        <w:rPr>
          <w:rFonts w:ascii="Times New Roman" w:hAnsi="Times New Roman"/>
          <w:sz w:val="28"/>
          <w:szCs w:val="28"/>
          <w:lang w:val="uk-UA"/>
        </w:rPr>
        <w:t>, Хотинського районів області. Серед них – проекти, що впроваджуються за участі Європейського Союзу, Програми розвитку ООН, Німецького товариства міжнародного співробітництва, транскордонні проекти</w:t>
      </w:r>
      <w:r w:rsidR="005C2815">
        <w:rPr>
          <w:rFonts w:ascii="Times New Roman" w:hAnsi="Times New Roman"/>
          <w:sz w:val="28"/>
          <w:szCs w:val="28"/>
          <w:lang w:val="uk-UA"/>
        </w:rPr>
        <w:t>.</w:t>
      </w:r>
    </w:p>
    <w:p w:rsidR="00EE2528" w:rsidRPr="003474D5" w:rsidRDefault="00EE2528" w:rsidP="003474D5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3474D5">
        <w:rPr>
          <w:rFonts w:ascii="Times New Roman" w:hAnsi="Times New Roman"/>
          <w:sz w:val="28"/>
          <w:szCs w:val="28"/>
          <w:lang w:val="uk-UA"/>
        </w:rPr>
        <w:t>Керівництво обласної ради, депутати обласної та місцевих рад, відповідальні працівники виконавчого апарату обласної ради впродовж звітного періоду брали участь у міжнаро</w:t>
      </w:r>
      <w:r w:rsidR="005C2815">
        <w:rPr>
          <w:rFonts w:ascii="Times New Roman" w:hAnsi="Times New Roman"/>
          <w:sz w:val="28"/>
          <w:szCs w:val="28"/>
          <w:lang w:val="uk-UA"/>
        </w:rPr>
        <w:t>дних тренінгах та конференціях (</w:t>
      </w:r>
      <w:r w:rsidRPr="003474D5">
        <w:rPr>
          <w:rFonts w:ascii="Times New Roman" w:hAnsi="Times New Roman"/>
          <w:sz w:val="28"/>
          <w:szCs w:val="28"/>
          <w:lang w:val="uk-UA"/>
        </w:rPr>
        <w:t xml:space="preserve">V Конгрес ініціатив Східної Європи в м. Люблін, Польща, Європейський </w:t>
      </w:r>
      <w:proofErr w:type="spellStart"/>
      <w:r w:rsidRPr="003474D5">
        <w:rPr>
          <w:rFonts w:ascii="Times New Roman" w:hAnsi="Times New Roman"/>
          <w:sz w:val="28"/>
          <w:szCs w:val="28"/>
          <w:lang w:val="uk-UA"/>
        </w:rPr>
        <w:lastRenderedPageBreak/>
        <w:t>біоекономічний</w:t>
      </w:r>
      <w:proofErr w:type="spellEnd"/>
      <w:r w:rsidRPr="003474D5">
        <w:rPr>
          <w:rFonts w:ascii="Times New Roman" w:hAnsi="Times New Roman"/>
          <w:sz w:val="28"/>
          <w:szCs w:val="28"/>
          <w:lang w:val="uk-UA"/>
        </w:rPr>
        <w:t xml:space="preserve"> Конгрес в м. Лодзь, Польща, V щорічний Форум Страте</w:t>
      </w:r>
      <w:r w:rsidR="005C2815">
        <w:rPr>
          <w:rFonts w:ascii="Times New Roman" w:hAnsi="Times New Roman"/>
          <w:sz w:val="28"/>
          <w:szCs w:val="28"/>
          <w:lang w:val="uk-UA"/>
        </w:rPr>
        <w:t xml:space="preserve">гії ЄС для Дунайського регіону в м. </w:t>
      </w:r>
      <w:r w:rsidRPr="003474D5">
        <w:rPr>
          <w:rFonts w:ascii="Times New Roman" w:hAnsi="Times New Roman"/>
          <w:sz w:val="28"/>
          <w:szCs w:val="28"/>
          <w:lang w:val="uk-UA"/>
        </w:rPr>
        <w:t>Братислава, Словаччина</w:t>
      </w:r>
      <w:r w:rsidR="005C2815">
        <w:rPr>
          <w:rFonts w:ascii="Times New Roman" w:hAnsi="Times New Roman"/>
          <w:sz w:val="28"/>
          <w:szCs w:val="28"/>
          <w:lang w:val="uk-UA"/>
        </w:rPr>
        <w:t>)</w:t>
      </w:r>
      <w:r w:rsidRPr="003474D5">
        <w:rPr>
          <w:rFonts w:ascii="Times New Roman" w:hAnsi="Times New Roman"/>
          <w:sz w:val="28"/>
          <w:szCs w:val="28"/>
          <w:lang w:val="uk-UA"/>
        </w:rPr>
        <w:t>.</w:t>
      </w:r>
    </w:p>
    <w:p w:rsidR="00EE2528" w:rsidRPr="003474D5" w:rsidRDefault="00EE2528" w:rsidP="003474D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sz w:val="28"/>
          <w:szCs w:val="28"/>
          <w:lang w:val="uk-UA"/>
        </w:rPr>
        <w:t>Позитивний громадський резонанс та схвальні відгуки преси отримав проект «Покращення умов життя та соціальна адаптація внутрішньо переміщених осіб в Чернівецькій області» за фінансового сприяння Європейського Союзу. Виконавцем цього першого в Україні проекту з надання цільової допомоги внутрішньо переміщеним особам стала Чернівецька обласна рада спільно з партнерами – Департаментом соціального захисту населення обласної державної адміністрації та Чернівецькою міською радою. В процесі реалізації проекту, бюджет якого складає майже 300 тисяч євро, багатодітні родини та представники інших соціально вразливих груп з числа внутрішньо переміщених осіб отримали тимчасове житло, побутову техніку, інші предмети першої необхідності, допомогу у працевлаштуванні, спрощений доступ до соціальних послуг, юридичне та психологічне консультування, допомогу у стосунках з банківськими установами, у відновленні втрачених документів тощо.</w:t>
      </w:r>
    </w:p>
    <w:p w:rsidR="00EE2528" w:rsidRPr="003474D5" w:rsidRDefault="00EE2528" w:rsidP="003474D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Депутати обласної та місцевих рад краю продовжують добрі традиції взаємовигідного партнерства та співробітництва з органами представницької влади та громадами </w:t>
      </w:r>
      <w:proofErr w:type="spellStart"/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Сучавського</w:t>
      </w:r>
      <w:proofErr w:type="spellEnd"/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Ясського, </w:t>
      </w:r>
      <w:proofErr w:type="spellStart"/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Ботошанського</w:t>
      </w:r>
      <w:proofErr w:type="spellEnd"/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повітів </w:t>
      </w:r>
      <w:r w:rsidR="00F7293A">
        <w:rPr>
          <w:rFonts w:ascii="Times New Roman" w:hAnsi="Times New Roman" w:cs="Times New Roman"/>
          <w:color w:val="000000"/>
          <w:sz w:val="28"/>
          <w:szCs w:val="28"/>
          <w:lang w:val="uk-UA"/>
        </w:rPr>
        <w:t>(Румунія)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повіту </w:t>
      </w:r>
      <w:proofErr w:type="spellStart"/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Белць</w:t>
      </w:r>
      <w:proofErr w:type="spellEnd"/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7293A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Республік</w:t>
      </w:r>
      <w:r w:rsidR="00F7293A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Молдова</w:t>
      </w:r>
      <w:r w:rsidR="00F7293A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округу </w:t>
      </w:r>
      <w:proofErr w:type="spellStart"/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Швабія</w:t>
      </w:r>
      <w:proofErr w:type="spellEnd"/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землі Баварія (ФРН), </w:t>
      </w:r>
      <w:proofErr w:type="spellStart"/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Лодзьського</w:t>
      </w:r>
      <w:proofErr w:type="spellEnd"/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Шльонського воєводств </w:t>
      </w:r>
      <w:r w:rsidR="00F7293A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Республік</w:t>
      </w:r>
      <w:r w:rsidR="00F7293A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Польща</w:t>
      </w:r>
      <w:r w:rsidR="00F7293A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3474D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округу </w:t>
      </w:r>
      <w:proofErr w:type="spellStart"/>
      <w:r w:rsidRPr="003474D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Майєнн</w:t>
      </w:r>
      <w:proofErr w:type="spellEnd"/>
      <w:r w:rsidR="006F795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(</w:t>
      </w:r>
      <w:r w:rsidR="00F7293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Франція</w:t>
      </w:r>
      <w:r w:rsidR="006F795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)</w:t>
      </w:r>
      <w:r w:rsidRPr="003474D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, федерального округу </w:t>
      </w:r>
      <w:proofErr w:type="spellStart"/>
      <w:r w:rsidRPr="003474D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Кар</w:t>
      </w:r>
      <w:r w:rsidR="00F7293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інтія</w:t>
      </w:r>
      <w:proofErr w:type="spellEnd"/>
      <w:r w:rsidR="00F7293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(Австрійська Республіка).</w:t>
      </w:r>
    </w:p>
    <w:p w:rsidR="00C66A2F" w:rsidRDefault="00EE2528" w:rsidP="00F7293A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Важливою подією стало іні</w:t>
      </w:r>
      <w:r w:rsidR="00F7293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ційоване головою обласної ради </w:t>
      </w:r>
      <w:r w:rsidRPr="003474D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спільне засідання радників </w:t>
      </w:r>
      <w:proofErr w:type="spellStart"/>
      <w:r w:rsidRPr="003474D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Сучавської</w:t>
      </w:r>
      <w:proofErr w:type="spellEnd"/>
      <w:r w:rsidRPr="003474D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повітової ради та депутатів Чернівецької обласної ради в м. Сучава (Румунія). Учасник</w:t>
      </w:r>
      <w:r w:rsidR="00F7293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и засідання розглянули питання про р</w:t>
      </w:r>
      <w:r w:rsidRPr="003474D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озвиток транспортної інфр</w:t>
      </w:r>
      <w:r w:rsidR="00C66A2F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аструктури</w:t>
      </w:r>
      <w:r w:rsidR="00C66A2F" w:rsidRPr="00C66A2F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r w:rsidR="00C66A2F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та </w:t>
      </w:r>
      <w:r w:rsidR="00C66A2F" w:rsidRPr="003474D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бізнес-середовища</w:t>
      </w:r>
      <w:r w:rsidR="00C66A2F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, а також надання </w:t>
      </w:r>
      <w:r w:rsidR="00C66A2F" w:rsidRPr="003474D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послуг в галузі охорони здоров</w:t>
      </w:r>
      <w:r w:rsidR="00C66A2F" w:rsidRPr="00F7293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’</w:t>
      </w:r>
      <w:r w:rsidR="00C66A2F" w:rsidRPr="003474D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я </w:t>
      </w:r>
      <w:r w:rsidRPr="003474D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на прикордонній території </w:t>
      </w:r>
      <w:proofErr w:type="spellStart"/>
      <w:r w:rsidRPr="003474D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Сучавського</w:t>
      </w:r>
      <w:proofErr w:type="spellEnd"/>
      <w:r w:rsidR="00F7293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повіту та Чернівецької області, с</w:t>
      </w:r>
      <w:r w:rsidRPr="003474D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півпрац</w:t>
      </w:r>
      <w:r w:rsidR="00F7293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ю</w:t>
      </w:r>
      <w:r w:rsidRPr="003474D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між </w:t>
      </w:r>
      <w:proofErr w:type="spellStart"/>
      <w:r w:rsidRPr="003474D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Сучавським</w:t>
      </w:r>
      <w:proofErr w:type="spellEnd"/>
      <w:r w:rsidRPr="003474D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повітом та Черні</w:t>
      </w:r>
      <w:r w:rsidR="00F7293A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вецькою областю в галузі освіти</w:t>
      </w:r>
      <w:r w:rsidR="00C66A2F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, культури; спільне реагування у випадках </w:t>
      </w:r>
      <w:r w:rsidR="00C66A2F" w:rsidRPr="003474D5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надзвичайних ситуацій</w:t>
      </w:r>
      <w:r w:rsidR="00C66A2F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.</w:t>
      </w:r>
    </w:p>
    <w:p w:rsidR="00C66A2F" w:rsidRDefault="00AE0F16" w:rsidP="003474D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світлі реформ, що наближають нас до європейських та світових цивілізаційних цінностей, </w:t>
      </w:r>
      <w:r w:rsidR="00C66A2F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Чернівецька обласна рада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предм</w:t>
      </w:r>
      <w:r w:rsidR="00C66A2F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етно займалася проблемами забезпечення гласності, відкри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тості та прозорості в роботі обласної ради та органів місцевого с</w:t>
      </w:r>
      <w:r w:rsidR="00C66A2F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амоврядування краю.</w:t>
      </w:r>
    </w:p>
    <w:p w:rsidR="00C66A2F" w:rsidRDefault="00C66A2F" w:rsidP="003474D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Так, т</w:t>
      </w:r>
      <w:r w:rsidR="00AE0F16" w:rsidRPr="003474D5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радиції </w:t>
      </w:r>
      <w:r w:rsidR="00AE0F16"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плідної співпраці з незалежними засобами масової інформації, залучення депутатів обласної ради та посадових осіб місцевого самоврядування до участі в телевізійних та радіоефірах дає можливість належно представити обласну раду в якості повноправного суб’єкт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 регіонального медіа-простору.</w:t>
      </w:r>
    </w:p>
    <w:p w:rsidR="00AE0F16" w:rsidRPr="003474D5" w:rsidRDefault="00AE0F16" w:rsidP="003474D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Зокрема, за звітний період п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роведено </w:t>
      </w:r>
      <w:r w:rsidR="000F3EC3" w:rsidRPr="003474D5">
        <w:rPr>
          <w:rFonts w:ascii="Times New Roman" w:hAnsi="Times New Roman" w:cs="Times New Roman"/>
          <w:sz w:val="28"/>
          <w:szCs w:val="28"/>
          <w:lang w:val="uk-UA"/>
        </w:rPr>
        <w:t>3 прес-конференції і брифінги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B4641" w:rsidRPr="003474D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D362E" w:rsidRPr="003474D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474D5">
        <w:rPr>
          <w:rFonts w:ascii="Times New Roman" w:hAnsi="Times New Roman" w:cs="Times New Roman"/>
          <w:sz w:val="28"/>
          <w:szCs w:val="28"/>
          <w:lang w:val="uk-UA"/>
        </w:rPr>
        <w:t>радіо-</w:t>
      </w:r>
      <w:proofErr w:type="spellEnd"/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3474D5">
        <w:rPr>
          <w:rFonts w:ascii="Times New Roman" w:hAnsi="Times New Roman" w:cs="Times New Roman"/>
          <w:sz w:val="28"/>
          <w:szCs w:val="28"/>
          <w:lang w:val="uk-UA"/>
        </w:rPr>
        <w:t>телеефірів</w:t>
      </w:r>
      <w:proofErr w:type="spellEnd"/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за участю керівництва обласної ради. Депутати крайового парламенту, </w:t>
      </w:r>
      <w:r w:rsidR="000F3EC3" w:rsidRPr="003474D5">
        <w:rPr>
          <w:rFonts w:ascii="Times New Roman" w:hAnsi="Times New Roman" w:cs="Times New Roman"/>
          <w:sz w:val="28"/>
          <w:szCs w:val="28"/>
          <w:lang w:val="uk-UA"/>
        </w:rPr>
        <w:t>в тому числі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голови постійних комісій обласної ради</w:t>
      </w:r>
      <w:r w:rsidR="00CB4641" w:rsidRPr="003474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за сприяння прес-служби провели </w:t>
      </w:r>
      <w:r w:rsidR="005D362E" w:rsidRPr="003474D5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474D5">
        <w:rPr>
          <w:rFonts w:ascii="Times New Roman" w:hAnsi="Times New Roman" w:cs="Times New Roman"/>
          <w:sz w:val="28"/>
          <w:szCs w:val="28"/>
          <w:lang w:val="uk-UA"/>
        </w:rPr>
        <w:t>те</w:t>
      </w:r>
      <w:r w:rsidR="000F3EC3" w:rsidRPr="003474D5">
        <w:rPr>
          <w:rFonts w:ascii="Times New Roman" w:hAnsi="Times New Roman" w:cs="Times New Roman"/>
          <w:sz w:val="28"/>
          <w:szCs w:val="28"/>
          <w:lang w:val="uk-UA"/>
        </w:rPr>
        <w:t>ле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>ефірів</w:t>
      </w:r>
      <w:proofErr w:type="spellEnd"/>
      <w:r w:rsidRPr="003474D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AE0F16" w:rsidRPr="003474D5" w:rsidRDefault="00AE0F16" w:rsidP="003474D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За звітний період у </w:t>
      </w:r>
      <w:r w:rsidR="000F3EC3" w:rsidRPr="003474D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77CA4" w:rsidRPr="003474D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друкованих засобах масової інформації, з якими укладено договори про висвітлення діяльності обласної ради, </w:t>
      </w:r>
      <w:proofErr w:type="spellStart"/>
      <w:r w:rsidRPr="003474D5">
        <w:rPr>
          <w:rFonts w:ascii="Times New Roman" w:hAnsi="Times New Roman" w:cs="Times New Roman"/>
          <w:sz w:val="28"/>
          <w:szCs w:val="28"/>
          <w:lang w:val="uk-UA"/>
        </w:rPr>
        <w:t>оприлюднено</w:t>
      </w:r>
      <w:proofErr w:type="spellEnd"/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3EC3" w:rsidRPr="003474D5">
        <w:rPr>
          <w:rFonts w:ascii="Times New Roman" w:hAnsi="Times New Roman" w:cs="Times New Roman"/>
          <w:sz w:val="28"/>
          <w:szCs w:val="28"/>
          <w:lang w:val="uk-UA"/>
        </w:rPr>
        <w:t>102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прес-повідомлення про роботу крайової представн</w:t>
      </w:r>
      <w:r w:rsidR="00C66A2F">
        <w:rPr>
          <w:rFonts w:ascii="Times New Roman" w:hAnsi="Times New Roman" w:cs="Times New Roman"/>
          <w:sz w:val="28"/>
          <w:szCs w:val="28"/>
          <w:lang w:val="uk-UA"/>
        </w:rPr>
        <w:t xml:space="preserve">ицької влади. На офіційному </w:t>
      </w:r>
      <w:proofErr w:type="spellStart"/>
      <w:r w:rsidR="00C66A2F">
        <w:rPr>
          <w:rFonts w:ascii="Times New Roman" w:hAnsi="Times New Roman" w:cs="Times New Roman"/>
          <w:sz w:val="28"/>
          <w:szCs w:val="28"/>
          <w:lang w:val="uk-UA"/>
        </w:rPr>
        <w:lastRenderedPageBreak/>
        <w:t>веб-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>сайті</w:t>
      </w:r>
      <w:proofErr w:type="spellEnd"/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та </w:t>
      </w:r>
      <w:proofErr w:type="spellStart"/>
      <w:r w:rsidRPr="003474D5">
        <w:rPr>
          <w:rFonts w:ascii="Times New Roman" w:hAnsi="Times New Roman" w:cs="Times New Roman"/>
          <w:sz w:val="28"/>
          <w:szCs w:val="28"/>
          <w:lang w:val="uk-UA"/>
        </w:rPr>
        <w:t>інтернет-порталі</w:t>
      </w:r>
      <w:proofErr w:type="spellEnd"/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територіальних громад Чернівецької області опубліковано </w:t>
      </w:r>
      <w:r w:rsidR="00C66A2F">
        <w:rPr>
          <w:rFonts w:ascii="Times New Roman" w:hAnsi="Times New Roman" w:cs="Times New Roman"/>
          <w:sz w:val="28"/>
          <w:szCs w:val="28"/>
          <w:lang w:val="uk-UA"/>
        </w:rPr>
        <w:t>854 прес-повідом</w:t>
      </w:r>
      <w:r w:rsidR="000F3EC3" w:rsidRPr="003474D5">
        <w:rPr>
          <w:rFonts w:ascii="Times New Roman" w:hAnsi="Times New Roman" w:cs="Times New Roman"/>
          <w:sz w:val="28"/>
          <w:szCs w:val="28"/>
          <w:lang w:val="uk-UA"/>
        </w:rPr>
        <w:t>лення</w:t>
      </w:r>
      <w:r w:rsidR="00C66A2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E0F16" w:rsidRPr="003474D5" w:rsidRDefault="00AE0F16" w:rsidP="003474D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За звітний час портал територіальних громад відвідало понад </w:t>
      </w:r>
      <w:r w:rsidR="00C66A2F">
        <w:rPr>
          <w:rFonts w:ascii="Times New Roman" w:hAnsi="Times New Roman" w:cs="Times New Roman"/>
          <w:sz w:val="28"/>
          <w:szCs w:val="28"/>
          <w:lang w:val="uk-UA"/>
        </w:rPr>
        <w:t>98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тисяч користувачів.</w:t>
      </w:r>
      <w:r w:rsidR="000F3EC3"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Ними було переглянуто понад </w:t>
      </w:r>
      <w:r w:rsidR="000F3EC3" w:rsidRPr="003474D5">
        <w:rPr>
          <w:rFonts w:ascii="Times New Roman" w:hAnsi="Times New Roman" w:cs="Times New Roman"/>
          <w:sz w:val="28"/>
          <w:szCs w:val="28"/>
          <w:lang w:val="uk-UA"/>
        </w:rPr>
        <w:t>557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C66A2F">
        <w:rPr>
          <w:rFonts w:ascii="Times New Roman" w:hAnsi="Times New Roman" w:cs="Times New Roman"/>
          <w:sz w:val="28"/>
          <w:szCs w:val="28"/>
          <w:lang w:val="uk-UA"/>
        </w:rPr>
        <w:t xml:space="preserve"> сторінок.</w:t>
      </w:r>
    </w:p>
    <w:p w:rsidR="000140BC" w:rsidRPr="003474D5" w:rsidRDefault="00AE0F16" w:rsidP="003474D5">
      <w:pPr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/>
        </w:rPr>
      </w:pPr>
      <w:r w:rsidRPr="003474D5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відповідності до вимог Закону України «Про доступ до публічної інформації»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протягом звітного періоду посадовці виконавчого апарату опрацювали, підготували і надали відповіді на </w:t>
      </w:r>
      <w:r w:rsidR="002B47AB" w:rsidRPr="003474D5">
        <w:rPr>
          <w:rFonts w:ascii="Times New Roman" w:hAnsi="Times New Roman" w:cs="Times New Roman"/>
          <w:sz w:val="28"/>
          <w:szCs w:val="28"/>
          <w:lang w:val="uk-UA"/>
        </w:rPr>
        <w:t>122 інформаційних запити</w:t>
      </w:r>
      <w:r w:rsidR="00C66A2F">
        <w:rPr>
          <w:rFonts w:ascii="Times New Roman" w:hAnsi="Times New Roman" w:cs="Times New Roman"/>
          <w:sz w:val="28"/>
          <w:szCs w:val="28"/>
          <w:lang w:val="uk-UA"/>
        </w:rPr>
        <w:t>. Усі вони опрацьовані,</w:t>
      </w:r>
      <w:r w:rsidRPr="003474D5">
        <w:rPr>
          <w:rFonts w:ascii="Times New Roman" w:hAnsi="Times New Roman" w:cs="Times New Roman"/>
          <w:sz w:val="28"/>
          <w:szCs w:val="28"/>
          <w:lang w:val="uk-UA"/>
        </w:rPr>
        <w:t xml:space="preserve"> запитувачі отримали письмові відповіді у встановлений законодавством термін. Частину запитів на інформацію було скеровано за належністю до відповідних розпорядників інформації.</w:t>
      </w:r>
    </w:p>
    <w:sectPr w:rsidR="000140BC" w:rsidRPr="003474D5" w:rsidSect="00955CED">
      <w:headerReference w:type="default" r:id="rId7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1F7" w:rsidRDefault="00D971F7" w:rsidP="001506EE">
      <w:r>
        <w:separator/>
      </w:r>
    </w:p>
  </w:endnote>
  <w:endnote w:type="continuationSeparator" w:id="0">
    <w:p w:rsidR="00D971F7" w:rsidRDefault="00D971F7" w:rsidP="001506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1F7" w:rsidRDefault="00D971F7" w:rsidP="001506EE">
      <w:r>
        <w:separator/>
      </w:r>
    </w:p>
  </w:footnote>
  <w:footnote w:type="continuationSeparator" w:id="0">
    <w:p w:rsidR="00D971F7" w:rsidRDefault="00D971F7" w:rsidP="001506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87F" w:rsidRDefault="00974EB8">
    <w:pPr>
      <w:pStyle w:val="a4"/>
      <w:jc w:val="center"/>
    </w:pPr>
    <w:fldSimple w:instr=" PAGE   \* MERGEFORMAT ">
      <w:r w:rsidR="00C133C8">
        <w:rPr>
          <w:noProof/>
        </w:rPr>
        <w:t>6</w:t>
      </w:r>
    </w:fldSimple>
  </w:p>
  <w:p w:rsidR="0091187F" w:rsidRDefault="0091187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72F1A"/>
    <w:multiLevelType w:val="hybridMultilevel"/>
    <w:tmpl w:val="9FECB93A"/>
    <w:lvl w:ilvl="0" w:tplc="A9825ECE">
      <w:start w:val="1"/>
      <w:numFmt w:val="decimal"/>
      <w:lvlText w:val="%1."/>
      <w:lvlJc w:val="left"/>
      <w:pPr>
        <w:tabs>
          <w:tab w:val="num" w:pos="1895"/>
        </w:tabs>
        <w:ind w:left="1895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  <w:rPr>
        <w:rFonts w:cs="Times New Roman"/>
      </w:rPr>
    </w:lvl>
  </w:abstractNum>
  <w:abstractNum w:abstractNumId="1">
    <w:nsid w:val="47222353"/>
    <w:multiLevelType w:val="hybridMultilevel"/>
    <w:tmpl w:val="BE185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0F16"/>
    <w:rsid w:val="000140BC"/>
    <w:rsid w:val="000600CD"/>
    <w:rsid w:val="000F3EC3"/>
    <w:rsid w:val="00101D3F"/>
    <w:rsid w:val="001340CC"/>
    <w:rsid w:val="001506EE"/>
    <w:rsid w:val="0015472F"/>
    <w:rsid w:val="001B355C"/>
    <w:rsid w:val="001B44FA"/>
    <w:rsid w:val="001D4ACC"/>
    <w:rsid w:val="001E71FE"/>
    <w:rsid w:val="00214949"/>
    <w:rsid w:val="00281DD7"/>
    <w:rsid w:val="002A1870"/>
    <w:rsid w:val="002B47AB"/>
    <w:rsid w:val="002D19EB"/>
    <w:rsid w:val="00301AFA"/>
    <w:rsid w:val="00336863"/>
    <w:rsid w:val="003474D5"/>
    <w:rsid w:val="0039789E"/>
    <w:rsid w:val="003A7AA8"/>
    <w:rsid w:val="00447D40"/>
    <w:rsid w:val="00477CA4"/>
    <w:rsid w:val="00495D18"/>
    <w:rsid w:val="0050608C"/>
    <w:rsid w:val="00511760"/>
    <w:rsid w:val="005267DD"/>
    <w:rsid w:val="00542B8F"/>
    <w:rsid w:val="00544B37"/>
    <w:rsid w:val="005B5341"/>
    <w:rsid w:val="005C2815"/>
    <w:rsid w:val="005D362E"/>
    <w:rsid w:val="006F7958"/>
    <w:rsid w:val="0070285E"/>
    <w:rsid w:val="007029AB"/>
    <w:rsid w:val="007B3A1A"/>
    <w:rsid w:val="007B4C93"/>
    <w:rsid w:val="00814F74"/>
    <w:rsid w:val="008254C8"/>
    <w:rsid w:val="00864ADE"/>
    <w:rsid w:val="008E64E0"/>
    <w:rsid w:val="0091187F"/>
    <w:rsid w:val="00955CED"/>
    <w:rsid w:val="00974EB8"/>
    <w:rsid w:val="009773D0"/>
    <w:rsid w:val="009B6945"/>
    <w:rsid w:val="00A755CB"/>
    <w:rsid w:val="00AC5048"/>
    <w:rsid w:val="00AE0F16"/>
    <w:rsid w:val="00AE4317"/>
    <w:rsid w:val="00AF1E38"/>
    <w:rsid w:val="00B17E27"/>
    <w:rsid w:val="00BD59C6"/>
    <w:rsid w:val="00BD6273"/>
    <w:rsid w:val="00BF3871"/>
    <w:rsid w:val="00C133C8"/>
    <w:rsid w:val="00C315D7"/>
    <w:rsid w:val="00C377FB"/>
    <w:rsid w:val="00C641AE"/>
    <w:rsid w:val="00C66A2F"/>
    <w:rsid w:val="00CB445E"/>
    <w:rsid w:val="00CB4641"/>
    <w:rsid w:val="00D23892"/>
    <w:rsid w:val="00D971F7"/>
    <w:rsid w:val="00E04416"/>
    <w:rsid w:val="00E050EA"/>
    <w:rsid w:val="00E1133A"/>
    <w:rsid w:val="00EE2528"/>
    <w:rsid w:val="00F548DD"/>
    <w:rsid w:val="00F7293A"/>
    <w:rsid w:val="00FA111C"/>
    <w:rsid w:val="00FA1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F1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E0F1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AE0F1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0F16"/>
    <w:rPr>
      <w:rFonts w:ascii="Arial" w:eastAsia="Times New Roman" w:hAnsi="Arial" w:cs="Arial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6</Pages>
  <Words>2331</Words>
  <Characters>13290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AKO</cp:lastModifiedBy>
  <cp:revision>18</cp:revision>
  <cp:lastPrinted>2017-02-09T15:37:00Z</cp:lastPrinted>
  <dcterms:created xsi:type="dcterms:W3CDTF">2017-02-09T11:46:00Z</dcterms:created>
  <dcterms:modified xsi:type="dcterms:W3CDTF">2017-04-05T06:34:00Z</dcterms:modified>
</cp:coreProperties>
</file>